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ny"/>
        <w:spacing w:lineRule="atLeast" w:line="100"/>
        <w:jc w:val="center"/>
        <w:rPr>
          <w:rFonts w:eastAsia="Times New Roman" w:cs="Times New Roman"/>
          <w:b/>
          <w:b/>
        </w:rPr>
      </w:pPr>
      <w:r>
        <w:rPr>
          <w:rFonts w:eastAsia="Times New Roman" w:cs="Times New Roman"/>
          <w:b/>
        </w:rPr>
        <w:t>Uchwała Nr LXIII/371/2023</w:t>
      </w:r>
    </w:p>
    <w:p>
      <w:pPr>
        <w:pStyle w:val="Normalny"/>
        <w:spacing w:lineRule="atLeast" w:line="100"/>
        <w:jc w:val="center"/>
        <w:rPr>
          <w:rFonts w:eastAsia="Times New Roman" w:cs="Times New Roman"/>
          <w:b/>
          <w:b/>
        </w:rPr>
      </w:pPr>
      <w:r>
        <w:rPr>
          <w:rFonts w:eastAsia="Times New Roman" w:cs="Times New Roman"/>
          <w:b/>
        </w:rPr>
        <w:t>Rady Gminy Turobin</w:t>
      </w:r>
    </w:p>
    <w:p>
      <w:pPr>
        <w:pStyle w:val="Normalny"/>
        <w:spacing w:lineRule="atLeast" w:line="100"/>
        <w:jc w:val="center"/>
        <w:rPr>
          <w:rFonts w:eastAsia="Times New Roman" w:cs="Times New Roman"/>
          <w:b/>
          <w:b/>
        </w:rPr>
      </w:pPr>
      <w:r>
        <w:rPr>
          <w:rFonts w:eastAsia="Times New Roman" w:cs="Times New Roman"/>
          <w:b/>
        </w:rPr>
        <w:t>z dnia 26 kwietnia 2023 roku</w:t>
      </w:r>
    </w:p>
    <w:p>
      <w:pPr>
        <w:pStyle w:val="Normalny"/>
        <w:spacing w:lineRule="atLeast" w:line="100"/>
        <w:rPr>
          <w:rFonts w:eastAsia="Times New Roman" w:cs="Times New Roman"/>
          <w:b/>
          <w:b/>
        </w:rPr>
      </w:pPr>
      <w:r>
        <w:rPr>
          <w:rFonts w:eastAsia="Times New Roman" w:cs="Times New Roman"/>
          <w:b/>
        </w:rPr>
      </w:r>
    </w:p>
    <w:p>
      <w:pPr>
        <w:pStyle w:val="Normalny"/>
        <w:spacing w:lineRule="atLeast" w:line="100"/>
        <w:rPr>
          <w:rFonts w:eastAsia="Times New Roman" w:cs="Times New Roman"/>
        </w:rPr>
      </w:pPr>
      <w:r>
        <w:rPr>
          <w:rFonts w:eastAsia="Times New Roman" w:cs="Times New Roman"/>
        </w:rPr>
      </w:r>
    </w:p>
    <w:p>
      <w:pPr>
        <w:pStyle w:val="Normalny"/>
        <w:spacing w:lineRule="atLeast" w:line="100"/>
        <w:jc w:val="center"/>
        <w:rPr>
          <w:rFonts w:eastAsia="Times New Roman" w:cs="Times New Roman"/>
          <w:b/>
          <w:b/>
        </w:rPr>
      </w:pPr>
      <w:r>
        <w:rPr>
          <w:rFonts w:eastAsia="Times New Roman" w:cs="Times New Roman"/>
          <w:b/>
        </w:rPr>
        <w:t>zmieniająca uchwałę w sprawie przystąpienia do sporządzenia</w:t>
      </w:r>
    </w:p>
    <w:p>
      <w:pPr>
        <w:pStyle w:val="Normalny"/>
        <w:autoSpaceDE w:val="false"/>
        <w:spacing w:lineRule="atLeast" w:line="100"/>
        <w:jc w:val="center"/>
        <w:rPr>
          <w:rFonts w:eastAsia="Times New Roman CE" w:cs="Times New Roman"/>
          <w:b/>
          <w:b/>
          <w:bCs/>
        </w:rPr>
      </w:pPr>
      <w:r>
        <w:rPr>
          <w:rFonts w:eastAsia="Times New Roman CE" w:cs="Times New Roman"/>
          <w:b/>
          <w:bCs/>
        </w:rPr>
        <w:t>miejscowego planu zagospodarowania przestrzennego gminy Turobin dla fragmentów obrębów Turobin i Zagroble</w:t>
      </w:r>
    </w:p>
    <w:p>
      <w:pPr>
        <w:pStyle w:val="Normalny"/>
        <w:autoSpaceDE w:val="false"/>
        <w:spacing w:lineRule="atLeast" w:line="100"/>
        <w:jc w:val="center"/>
        <w:rPr>
          <w:rFonts w:eastAsia="Times New Roman" w:cs="Times New Roman"/>
          <w:b/>
          <w:b/>
        </w:rPr>
      </w:pPr>
      <w:r>
        <w:rPr>
          <w:rFonts w:eastAsia="Times New Roman" w:cs="Times New Roman"/>
          <w:b/>
        </w:rPr>
      </w:r>
    </w:p>
    <w:p>
      <w:pPr>
        <w:pStyle w:val="Normalny"/>
        <w:spacing w:lineRule="atLeast" w:line="100"/>
        <w:rPr>
          <w:rFonts w:eastAsia="Times New Roman" w:cs="Times New Roman"/>
        </w:rPr>
      </w:pPr>
      <w:r>
        <w:rPr>
          <w:rFonts w:eastAsia="Times New Roman" w:cs="Times New Roman"/>
        </w:rPr>
      </w:r>
    </w:p>
    <w:p>
      <w:pPr>
        <w:pStyle w:val="Normalny"/>
        <w:spacing w:lineRule="auto" w:line="276"/>
        <w:rPr>
          <w:rFonts w:eastAsia="Times New Roman" w:cs="Times New Roman"/>
        </w:rPr>
      </w:pPr>
      <w:r>
        <w:rPr>
          <w:rFonts w:eastAsia="Times New Roman" w:cs="Times New Roman"/>
        </w:rPr>
      </w:r>
    </w:p>
    <w:p>
      <w:pPr>
        <w:pStyle w:val="Normalny"/>
        <w:spacing w:lineRule="auto" w:line="276"/>
        <w:jc w:val="both"/>
        <w:rPr>
          <w:rFonts w:eastAsia="Times New Roman" w:cs="Times New Roman"/>
        </w:rPr>
      </w:pPr>
      <w:r>
        <w:rPr>
          <w:rFonts w:eastAsia="Times New Roman" w:cs="Times New Roman"/>
        </w:rPr>
        <w:tab/>
        <w:t>Na podstawie art. 18 ust. 2 pkt. 15 ustawy z dnia 8 marca 1990 r. o samorządzie gminnym (Dz. U. z 2023 r. poz. 40 z późn. zm.), oraz art. 14 ust. 1, 2  i 4 ustawy z dnia 27 marca 2003 r. o planowaniu i zagospodarowaniu przestrzennym (Dz. U. z 2022 r., poz. 503</w:t>
        <w:br/>
        <w:t xml:space="preserve"> z późn. zm.) Rada Gminy Turobin uchwala, co następuje:</w:t>
      </w:r>
    </w:p>
    <w:p>
      <w:pPr>
        <w:pStyle w:val="Normalny"/>
        <w:spacing w:lineRule="auto" w:line="276"/>
        <w:jc w:val="both"/>
        <w:rPr>
          <w:rFonts w:eastAsia="Times New Roman" w:cs="Times New Roman"/>
        </w:rPr>
      </w:pPr>
      <w:r>
        <w:rPr>
          <w:rFonts w:eastAsia="Times New Roman" w:cs="Times New Roman"/>
        </w:rPr>
      </w:r>
    </w:p>
    <w:p>
      <w:pPr>
        <w:pStyle w:val="Normalny"/>
        <w:spacing w:lineRule="auto" w:line="276"/>
        <w:jc w:val="center"/>
        <w:rPr>
          <w:rFonts w:eastAsia="Times New Roman" w:cs="Times New Roman"/>
          <w:b/>
          <w:b/>
        </w:rPr>
      </w:pPr>
      <w:r>
        <w:rPr>
          <w:rFonts w:eastAsia="Times New Roman" w:cs="Times New Roman"/>
          <w:b/>
        </w:rPr>
        <w:t>§1</w:t>
      </w:r>
    </w:p>
    <w:p>
      <w:pPr>
        <w:pStyle w:val="Normalny"/>
        <w:spacing w:lineRule="auto" w:line="276"/>
        <w:jc w:val="center"/>
        <w:rPr>
          <w:rFonts w:eastAsia="Times New Roman" w:cs="Times New Roman"/>
        </w:rPr>
      </w:pPr>
      <w:r>
        <w:rPr>
          <w:rFonts w:eastAsia="Times New Roman" w:cs="Times New Roman"/>
        </w:rPr>
      </w:r>
    </w:p>
    <w:p>
      <w:pPr>
        <w:pStyle w:val="Normal"/>
        <w:numPr>
          <w:ilvl w:val="0"/>
          <w:numId w:val="3"/>
        </w:numPr>
        <w:tabs>
          <w:tab w:val="clear" w:pos="709"/>
        </w:tabs>
        <w:spacing w:lineRule="auto" w:line="276"/>
        <w:ind w:left="0" w:hanging="0"/>
        <w:jc w:val="both"/>
        <w:rPr/>
      </w:pPr>
      <w:r>
        <w:rPr>
          <w:rStyle w:val="Domylnaczcionkaakapitu"/>
          <w:color w:val="000000"/>
          <w:szCs w:val="24"/>
        </w:rPr>
        <w:t xml:space="preserve">W uchwale Nr LVI/313/2022 Rady Gminy Turobin z dnia 29 listopada 2022 r. w sprawie przystąpienia do sporządzenia </w:t>
      </w:r>
      <w:r>
        <w:rPr>
          <w:rStyle w:val="Domylnaczcionkaakapitu"/>
          <w:rFonts w:eastAsia="Times New Roman CE"/>
          <w:color w:val="000000"/>
          <w:szCs w:val="24"/>
        </w:rPr>
        <w:t>miejscowego planu zagospodarowania przestrzennego gminy Turobin dla fragmentów obrębów Turobin i Zagroble</w:t>
      </w:r>
      <w:r>
        <w:rPr>
          <w:rStyle w:val="Domylnaczcionkaakapitu"/>
          <w:szCs w:val="24"/>
        </w:rPr>
        <w:t xml:space="preserve"> </w:t>
      </w:r>
      <w:r>
        <w:rPr>
          <w:rStyle w:val="Domylnaczcionkaakapitu"/>
          <w:color w:val="000000"/>
          <w:szCs w:val="24"/>
        </w:rPr>
        <w:t>załącznik Nr 2 do uchwały otrzymuje brzmienie określone w załączniku do niniejszej uchwały.</w:t>
      </w:r>
    </w:p>
    <w:p>
      <w:pPr>
        <w:pStyle w:val="Normal"/>
        <w:numPr>
          <w:ilvl w:val="0"/>
          <w:numId w:val="2"/>
        </w:numPr>
        <w:tabs>
          <w:tab w:val="clear" w:pos="709"/>
        </w:tabs>
        <w:spacing w:lineRule="auto" w:line="276"/>
        <w:ind w:left="0" w:hanging="0"/>
        <w:jc w:val="both"/>
        <w:rPr/>
      </w:pPr>
      <w:r>
        <w:rPr>
          <w:rStyle w:val="Domylnaczcionkaakapitu"/>
          <w:color w:val="000000"/>
          <w:szCs w:val="24"/>
        </w:rPr>
        <w:t xml:space="preserve">Traci moc uchwała Nr LXII/366/2023 Rady Gminy Turobin z dnia 28 marca 2023 roku </w:t>
      </w:r>
      <w:r>
        <w:rPr>
          <w:rStyle w:val="Domylnaczcionkaakapitu"/>
          <w:szCs w:val="24"/>
        </w:rPr>
        <w:t xml:space="preserve">zmieniająca uchwałę w sprawie przystąpienia do sporządzenia </w:t>
      </w:r>
      <w:r>
        <w:rPr>
          <w:rStyle w:val="Domylnaczcionkaakapitu"/>
          <w:rFonts w:eastAsia="Times New Roman CE"/>
          <w:color w:val="000000"/>
          <w:szCs w:val="24"/>
        </w:rPr>
        <w:t>miejscowego planu zagospodarowania przestrzennego gminy Turobin dla fragmentów obrębów Turobin i Zagroble</w:t>
      </w:r>
    </w:p>
    <w:p>
      <w:pPr>
        <w:pStyle w:val="Normal"/>
        <w:numPr>
          <w:ilvl w:val="0"/>
          <w:numId w:val="2"/>
        </w:numPr>
        <w:tabs>
          <w:tab w:val="clear" w:pos="709"/>
        </w:tabs>
        <w:spacing w:lineRule="auto" w:line="276"/>
        <w:ind w:left="0" w:hanging="0"/>
        <w:jc w:val="both"/>
        <w:rPr>
          <w:color w:val="000000"/>
          <w:szCs w:val="24"/>
        </w:rPr>
      </w:pPr>
      <w:r>
        <w:rPr>
          <w:color w:val="000000"/>
          <w:szCs w:val="24"/>
        </w:rPr>
        <w:t>W pozostałym zakresie uchwała pozostaje bez mian.</w:t>
      </w:r>
    </w:p>
    <w:p>
      <w:pPr>
        <w:pStyle w:val="Normal"/>
        <w:spacing w:lineRule="auto" w:line="276"/>
        <w:jc w:val="center"/>
        <w:rPr>
          <w:b/>
          <w:b/>
          <w:szCs w:val="24"/>
        </w:rPr>
      </w:pPr>
      <w:r>
        <w:rPr>
          <w:b/>
          <w:szCs w:val="24"/>
        </w:rPr>
      </w:r>
    </w:p>
    <w:p>
      <w:pPr>
        <w:pStyle w:val="Normal"/>
        <w:spacing w:lineRule="atLeast" w:line="100"/>
        <w:jc w:val="center"/>
        <w:rPr>
          <w:b/>
          <w:b/>
          <w:szCs w:val="24"/>
        </w:rPr>
      </w:pPr>
      <w:r>
        <w:rPr>
          <w:b/>
          <w:szCs w:val="24"/>
        </w:rPr>
        <w:t>§2.</w:t>
      </w:r>
    </w:p>
    <w:p>
      <w:pPr>
        <w:pStyle w:val="Normal"/>
        <w:spacing w:lineRule="atLeast" w:line="100"/>
        <w:jc w:val="center"/>
        <w:rPr>
          <w:b/>
          <w:b/>
          <w:szCs w:val="24"/>
        </w:rPr>
      </w:pPr>
      <w:r>
        <w:rPr>
          <w:b/>
          <w:szCs w:val="24"/>
        </w:rPr>
      </w:r>
    </w:p>
    <w:p>
      <w:pPr>
        <w:pStyle w:val="Normalny"/>
        <w:spacing w:lineRule="atLeast" w:line="100"/>
        <w:ind w:firstLine="708"/>
        <w:rPr>
          <w:rFonts w:eastAsia="Times New Roman" w:cs="Times New Roman"/>
        </w:rPr>
      </w:pPr>
      <w:r>
        <w:rPr>
          <w:rFonts w:eastAsia="Times New Roman" w:cs="Times New Roman"/>
        </w:rPr>
        <w:t>Wykonanie uchwały powierza się Wójtowi Gminy Turobin.</w:t>
      </w:r>
    </w:p>
    <w:p>
      <w:pPr>
        <w:pStyle w:val="Normalny"/>
        <w:spacing w:lineRule="atLeast" w:line="100"/>
        <w:rPr>
          <w:rFonts w:eastAsia="Times New Roman" w:cs="Times New Roman"/>
        </w:rPr>
      </w:pPr>
      <w:r>
        <w:rPr>
          <w:rFonts w:eastAsia="Times New Roman" w:cs="Times New Roman"/>
        </w:rPr>
      </w:r>
    </w:p>
    <w:p>
      <w:pPr>
        <w:pStyle w:val="Normalny"/>
        <w:spacing w:lineRule="atLeast" w:line="100"/>
        <w:jc w:val="center"/>
        <w:rPr>
          <w:rFonts w:eastAsia="Times New Roman" w:cs="Times New Roman"/>
          <w:b/>
          <w:b/>
        </w:rPr>
      </w:pPr>
      <w:r>
        <w:rPr>
          <w:rFonts w:eastAsia="Times New Roman" w:cs="Times New Roman"/>
          <w:b/>
        </w:rPr>
        <w:t>§3.</w:t>
      </w:r>
    </w:p>
    <w:p>
      <w:pPr>
        <w:pStyle w:val="Normalny"/>
        <w:spacing w:lineRule="atLeast" w:line="100"/>
        <w:rPr>
          <w:rFonts w:eastAsia="Times New Roman" w:cs="Times New Roman"/>
        </w:rPr>
      </w:pPr>
      <w:r>
        <w:rPr>
          <w:rFonts w:eastAsia="Times New Roman" w:cs="Times New Roman"/>
        </w:rPr>
      </w:r>
    </w:p>
    <w:p>
      <w:pPr>
        <w:pStyle w:val="Normalny"/>
        <w:spacing w:lineRule="atLeast" w:line="100"/>
        <w:ind w:firstLine="708"/>
        <w:rPr>
          <w:rFonts w:eastAsia="Times New Roman" w:cs="Times New Roman"/>
        </w:rPr>
      </w:pPr>
      <w:r>
        <w:rPr>
          <w:rFonts w:eastAsia="Times New Roman" w:cs="Times New Roman"/>
        </w:rPr>
        <w:t>Uchwała wchodzi w życie z dniem podjęcia.</w:t>
      </w:r>
    </w:p>
    <w:p>
      <w:pPr>
        <w:pStyle w:val="Normalny"/>
        <w:spacing w:lineRule="atLeast" w:line="100"/>
        <w:ind w:firstLine="708"/>
        <w:rPr>
          <w:rFonts w:eastAsia="Times New Roman" w:cs="Times New Roman"/>
        </w:rPr>
      </w:pPr>
      <w:r>
        <w:rPr>
          <w:rFonts w:eastAsia="Times New Roman" w:cs="Times New Roman"/>
        </w:rPr>
      </w:r>
    </w:p>
    <w:p>
      <w:pPr>
        <w:pStyle w:val="Normalny"/>
        <w:spacing w:lineRule="atLeast" w:line="100"/>
        <w:rPr>
          <w:rFonts w:eastAsia="Times New Roman" w:cs="Times New Roman"/>
        </w:rPr>
      </w:pPr>
      <w:r>
        <w:rPr>
          <w:rFonts w:eastAsia="Times New Roman" w:cs="Times New Roman"/>
        </w:rPr>
      </w:r>
      <w:r>
        <w:br w:type="page"/>
      </w:r>
    </w:p>
    <w:p>
      <w:pPr>
        <w:pStyle w:val="Normalny"/>
        <w:spacing w:lineRule="atLeast" w:line="100"/>
        <w:jc w:val="center"/>
        <w:rPr>
          <w:rFonts w:eastAsia="Times New Roman" w:cs="Times New Roman"/>
          <w:b/>
          <w:b/>
          <w:bCs/>
        </w:rPr>
      </w:pPr>
      <w:r>
        <w:rPr>
          <w:rFonts w:eastAsia="Times New Roman" w:cs="Times New Roman"/>
          <w:b/>
          <w:bCs/>
        </w:rPr>
        <w:t>Uzasadnienie</w:t>
      </w:r>
    </w:p>
    <w:p>
      <w:pPr>
        <w:pStyle w:val="Normalny"/>
        <w:spacing w:lineRule="atLeast" w:line="100"/>
        <w:jc w:val="center"/>
        <w:rPr>
          <w:rFonts w:eastAsia="Times New Roman" w:cs="Times New Roman"/>
          <w:b/>
          <w:b/>
          <w:bCs/>
        </w:rPr>
      </w:pPr>
      <w:r>
        <w:rPr>
          <w:rFonts w:eastAsia="Times New Roman" w:cs="Times New Roman"/>
          <w:b/>
          <w:bCs/>
        </w:rPr>
      </w:r>
    </w:p>
    <w:p>
      <w:pPr>
        <w:pStyle w:val="Normalny"/>
        <w:spacing w:lineRule="auto" w:line="276"/>
        <w:jc w:val="both"/>
        <w:rPr/>
      </w:pPr>
      <w:r>
        <w:rPr>
          <w:rStyle w:val="Domylnaczcionkaakapitu"/>
          <w:rFonts w:eastAsia="Times New Roman" w:cs="Times New Roman"/>
        </w:rPr>
        <w:tab/>
        <w:t>Niniejszą uchwałą zmienia się załącznik graficzny Nr 2 do uchwały Nr LVI</w:t>
      </w:r>
      <w:r>
        <w:rPr>
          <w:rStyle w:val="Domylnaczcionkaakapitu"/>
          <w:rFonts w:eastAsia="Times New Roman" w:cs="Times New Roman"/>
          <w:color w:val="000000"/>
        </w:rPr>
        <w:t xml:space="preserve">/331/2022 Rady Gminy Turobin z dnia 29 listopada 2022 r. w sprawie przystąpienia do sporządzenia miejscowego planu zagospodarowania przestrzennego gminy </w:t>
      </w:r>
      <w:r>
        <w:rPr>
          <w:rStyle w:val="Domylnaczcionkaakapitu"/>
          <w:rFonts w:eastAsia="Times New Roman CE" w:cs="Times New Roman"/>
          <w:color w:val="000000"/>
        </w:rPr>
        <w:t xml:space="preserve">Turobin dla fragmentów obrębów Turobin i Zagroble, który został zmieniony uchwałą </w:t>
      </w:r>
      <w:r>
        <w:rPr>
          <w:rStyle w:val="Domylnaczcionkaakapitu"/>
          <w:rFonts w:eastAsia="Times New Roman" w:cs="Times New Roman"/>
        </w:rPr>
        <w:t xml:space="preserve">Nr </w:t>
      </w:r>
      <w:r>
        <w:rPr>
          <w:rStyle w:val="Domylnaczcionkaakapitu"/>
          <w:rFonts w:eastAsia="Times New Roman" w:cs="Times New Roman"/>
          <w:color w:val="000000"/>
        </w:rPr>
        <w:t xml:space="preserve"> LXII/366/2023 Rady Gminy Turobin z dnia 28 marca 2022 r. w zmieniająca uchwałę w sprawie przystąpienia do sporządzenia miejscowego planu zagospodarowania przestrzennego gminy </w:t>
      </w:r>
      <w:r>
        <w:rPr>
          <w:rStyle w:val="Domylnaczcionkaakapitu"/>
          <w:rFonts w:eastAsia="Times New Roman CE" w:cs="Times New Roman"/>
          <w:color w:val="000000"/>
        </w:rPr>
        <w:t>Turobin dla fragmentów obrębów Turobin i Zagroble.</w:t>
      </w:r>
    </w:p>
    <w:p>
      <w:pPr>
        <w:pStyle w:val="Normalny"/>
        <w:spacing w:lineRule="auto" w:line="276"/>
        <w:jc w:val="both"/>
        <w:rPr/>
      </w:pPr>
      <w:r>
        <w:rPr>
          <w:rStyle w:val="Domylnaczcionkaakapitu"/>
          <w:rFonts w:eastAsia="Times New Roman" w:cs="Times New Roman"/>
          <w:color w:val="000000"/>
        </w:rPr>
        <w:tab/>
        <w:t xml:space="preserve">Uchwała intencyjna, mimo że nie jest aktem prawa miejscowego, stanowi istotny wyznacznik, według którego plan miejscowy winien być sporządzony, określając </w:t>
        <w:br/>
        <w:t>w szczególności obszar, na którym projektowany m.p.z.p. ma zostać ustanowiony. Zatem granice ww. opracowania w zakresie załącznika Nr 2 powiększa się  o część terenu umożliwiającego wyznaczenie stref ochronnych od cmentarza, zgodnie z przepisami Rozporządzenia Ministra Gospodarki Komunalnej z dnia 25 sierpnia 1959 r. w sprawie określenia, jakie tereny pod względem sanitarnym są odpowiednie na cmentarze, a w ramach których będą ustalone szczególne warunki zabudowy i zagospodarowania, w odniesieniu do terenów w nich położonych. Jednocześnie w  granicach wskazanych do opracowania będzie możliwe zabezpieczenie obsługi komunikacyjnej w postaci drogi publicznej zabezpieczającej dojazd do cmentarza. Tym samym niniejsza uchwałą uchyla się uchwałę zmieniającą Nr  LXII/366/2023 Rady Gminy Turobin z dnia 28 marca 2023 roku, celem uniknięcia dublowania się obszaru wskazanego do opracowania planu w przedmiotowym zakresie. Zgodnie z art. 15 ust. 2 pkt 10 ustawy o planowaniu i zagospodarowaniu przestrzennym plan miejscowy powinien być tak skonstruowany, aby wyeliminować konfliktogenność funkcji terenów oraz zapewnić możliwość obsługi komunikacyjnej określonym terenom. Jednocześnie owa „możliwość” oznaczać musi dostateczną pewność planowanego układu komunikacji, zapewniających wymagany dostęp do drogi publicznej.</w:t>
      </w:r>
      <w:r>
        <w:rPr>
          <w:rStyle w:val="Domylnaczcionkaakapitu"/>
          <w:rFonts w:eastAsia="Times New Roman" w:cs="Times New Roman"/>
        </w:rPr>
        <w:t xml:space="preserve"> Tym samym obszar zakreślony </w:t>
        <w:br/>
        <w:t xml:space="preserve">w uchwale  przystąpieniu do sporządzenia planu w zakresie załącznika Nr 2 uzupełnia się </w:t>
        <w:br/>
        <w:t>o objęcie dodatkowo granicami opracowania obszaru umożliwiającego wyznaczenie stref ochronnych oraz dojazdu do terenu cmentarza</w:t>
      </w:r>
    </w:p>
    <w:p>
      <w:pPr>
        <w:pStyle w:val="Normalny"/>
        <w:spacing w:lineRule="auto" w:line="276"/>
        <w:jc w:val="both"/>
        <w:rPr/>
      </w:pPr>
      <w:r>
        <w:rPr>
          <w:rStyle w:val="Domylnaczcionkaakapitu"/>
          <w:rFonts w:eastAsia="Times New Roman" w:cs="Times New Roman"/>
          <w:color w:val="000000"/>
        </w:rPr>
        <w:tab/>
        <w:t>Inne ustalenia u</w:t>
      </w:r>
      <w:r>
        <w:rPr>
          <w:rStyle w:val="Domylnaczcionkaakapitu"/>
          <w:rFonts w:eastAsia="Times New Roman" w:cs="Times New Roman"/>
        </w:rPr>
        <w:t>chwały Nr LVI</w:t>
      </w:r>
      <w:r>
        <w:rPr>
          <w:rStyle w:val="Domylnaczcionkaakapitu"/>
          <w:rFonts w:eastAsia="Times New Roman" w:cs="Times New Roman"/>
          <w:color w:val="000000"/>
        </w:rPr>
        <w:t>/331/2022 Rady Gminy Turobin z dnia 29 listopada 2022r. pozostają bez zmian, w tym w zakresie załącznika Nr 1.</w:t>
      </w:r>
    </w:p>
    <w:p>
      <w:pPr>
        <w:pStyle w:val="Normalny"/>
        <w:tabs>
          <w:tab w:val="clear" w:pos="709"/>
        </w:tabs>
        <w:spacing w:lineRule="atLeast" w:line="100"/>
        <w:ind w:left="4536" w:hanging="0"/>
        <w:jc w:val="center"/>
        <w:rPr>
          <w:rFonts w:eastAsia="Times New Roman" w:cs="Times New Roman"/>
        </w:rPr>
      </w:pPr>
      <w:r>
        <w:rPr>
          <w:rFonts w:eastAsia="Times New Roman" w:cs="Times New Roman"/>
        </w:rPr>
      </w:r>
    </w:p>
    <w:p>
      <w:pPr>
        <w:pStyle w:val="Normalny"/>
        <w:tabs>
          <w:tab w:val="clear" w:pos="709"/>
        </w:tabs>
        <w:spacing w:lineRule="atLeast" w:line="100"/>
        <w:ind w:left="4536" w:hanging="0"/>
        <w:jc w:val="center"/>
        <w:rPr>
          <w:rFonts w:eastAsia="Times New Roman" w:cs="Times New Roman"/>
        </w:rPr>
      </w:pPr>
      <w:r>
        <w:rPr>
          <w:rFonts w:eastAsia="Times New Roman" w:cs="Times New Roman"/>
        </w:rPr>
      </w:r>
    </w:p>
    <w:p>
      <w:pPr>
        <w:pStyle w:val="Normalny"/>
        <w:tabs>
          <w:tab w:val="clear" w:pos="709"/>
        </w:tabs>
        <w:spacing w:lineRule="atLeast" w:line="100"/>
        <w:ind w:left="4536" w:hanging="0"/>
        <w:jc w:val="center"/>
        <w:rPr>
          <w:rFonts w:eastAsia="Times New Roman" w:cs="Times New Roman"/>
        </w:rPr>
      </w:pPr>
      <w:r>
        <w:rPr>
          <w:rFonts w:eastAsia="Times New Roman" w:cs="Times New Roman"/>
        </w:rPr>
      </w:r>
    </w:p>
    <w:p>
      <w:pPr>
        <w:pStyle w:val="Normalny"/>
        <w:spacing w:lineRule="atLeast" w:line="100"/>
        <w:jc w:val="center"/>
        <w:rPr>
          <w:rFonts w:eastAsia="Times New Roman" w:cs="Times New Roman"/>
        </w:rPr>
      </w:pPr>
      <w:r>
        <w:rPr>
          <w:rFonts w:eastAsia="Times New Roman" w:cs="Times New Roman"/>
        </w:rPr>
      </w:r>
    </w:p>
    <w:sectPr>
      <w:type w:val="nextPage"/>
      <w:pgSz w:w="11905" w:h="16837"/>
      <w:pgMar w:left="1417" w:right="1417" w:gutter="0" w:header="0" w:top="1417" w:footer="0" w:bottom="1417"/>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swiss"/>
    <w:pitch w:val="variable"/>
  </w:font>
  <w:font w:name="StarSymbol">
    <w:altName w:val="Arial Unicode MS"/>
    <w:charset w:val="02"/>
    <w:family w:val="auto"/>
    <w:pitch w:val="default"/>
  </w:font>
  <w:font w:name="Albertus">
    <w:charset w:val="ee"/>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gwek1"/>
      <w:numFmt w:val="none"/>
      <w:suff w:val="nothing"/>
      <w:lvlText w:val="%1"/>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283" w:hanging="283"/>
      </w:pPr>
    </w:lvl>
    <w:lvl w:ilvl="1">
      <w:start w:val="1"/>
      <w:numFmt w:val="decimal"/>
      <w:lvlText w:val="%2."/>
      <w:lvlJc w:val="left"/>
      <w:pPr>
        <w:tabs>
          <w:tab w:val="num" w:pos="0"/>
        </w:tabs>
        <w:ind w:left="567" w:hanging="283"/>
      </w:pPr>
    </w:lvl>
    <w:lvl w:ilvl="2">
      <w:start w:val="1"/>
      <w:numFmt w:val="decimal"/>
      <w:lvlText w:val="%3."/>
      <w:lvlJc w:val="left"/>
      <w:pPr>
        <w:tabs>
          <w:tab w:val="num" w:pos="0"/>
        </w:tabs>
        <w:ind w:left="850" w:hanging="283"/>
      </w:pPr>
    </w:lvl>
    <w:lvl w:ilvl="3">
      <w:start w:val="1"/>
      <w:numFmt w:val="decimal"/>
      <w:lvlText w:val="%4."/>
      <w:lvlJc w:val="left"/>
      <w:pPr>
        <w:tabs>
          <w:tab w:val="num" w:pos="0"/>
        </w:tabs>
        <w:ind w:left="1134" w:hanging="283"/>
      </w:pPr>
    </w:lvl>
    <w:lvl w:ilvl="4">
      <w:start w:val="1"/>
      <w:numFmt w:val="decimal"/>
      <w:lvlText w:val="%5."/>
      <w:lvlJc w:val="left"/>
      <w:pPr>
        <w:tabs>
          <w:tab w:val="num" w:pos="0"/>
        </w:tabs>
        <w:ind w:left="1417" w:hanging="283"/>
      </w:pPr>
    </w:lvl>
    <w:lvl w:ilvl="5">
      <w:start w:val="1"/>
      <w:numFmt w:val="decimal"/>
      <w:lvlText w:val="%6."/>
      <w:lvlJc w:val="left"/>
      <w:pPr>
        <w:tabs>
          <w:tab w:val="num" w:pos="0"/>
        </w:tabs>
        <w:ind w:left="1701" w:hanging="283"/>
      </w:pPr>
    </w:lvl>
    <w:lvl w:ilvl="6">
      <w:start w:val="1"/>
      <w:numFmt w:val="decimal"/>
      <w:lvlText w:val="%7."/>
      <w:lvlJc w:val="left"/>
      <w:pPr>
        <w:tabs>
          <w:tab w:val="num" w:pos="0"/>
        </w:tabs>
        <w:ind w:left="1984" w:hanging="283"/>
      </w:pPr>
    </w:lvl>
    <w:lvl w:ilvl="7">
      <w:start w:val="1"/>
      <w:numFmt w:val="decimal"/>
      <w:lvlText w:val="%8."/>
      <w:lvlJc w:val="left"/>
      <w:pPr>
        <w:tabs>
          <w:tab w:val="num" w:pos="0"/>
        </w:tabs>
        <w:ind w:left="2268" w:hanging="283"/>
      </w:pPr>
    </w:lvl>
    <w:lvl w:ilvl="8">
      <w:start w:val="1"/>
      <w:numFmt w:val="decimal"/>
      <w:lvlText w:val="%9."/>
      <w:lvlJc w:val="left"/>
      <w:pPr>
        <w:tabs>
          <w:tab w:val="num" w:pos="0"/>
        </w:tabs>
        <w:ind w:left="2551" w:hanging="283"/>
      </w:pPr>
    </w:lvl>
  </w:abstractNum>
  <w:num w:numId="1">
    <w:abstractNumId w:val="1"/>
  </w:num>
  <w:num w:numId="2">
    <w:abstractNumId w:val="2"/>
  </w:num>
  <w:num w:numId="3">
    <w:abstractNumId w:val="2"/>
    <w:lvlOverride w:ilvl="0">
      <w:startOverride w:val="1"/>
    </w:lvlOverride>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Lucida Sans Unicode" w:cs="Tahoma"/>
        <w:kern w:val="2"/>
        <w:sz w:val="24"/>
        <w:szCs w:val="24"/>
        <w:lang w:val="pl-PL" w:eastAsia="pl-PL" w:bidi="ar-SA"/>
      </w:rPr>
    </w:rPrDefault>
    <w:pPrDefault>
      <w:pPr>
        <w:suppressAutoHyphens w:val="false"/>
        <w:textAlignment w:val="baseline"/>
      </w:pPr>
    </w:pPrDefault>
  </w:docDefaults>
  <w:style w:type="paragraph" w:styleId="Normal">
    <w:name w:val="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eastAsia="Times New Roman" w:cs="Times New Roman" w:ascii="Times New Roman" w:hAnsi="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0"/>
      <w:u w:val="none"/>
      <w:shd w:fill="auto" w:val="clear"/>
      <w:vertAlign w:val="baseline"/>
      <w:em w:val="none"/>
      <w:lang w:val="pl-PL" w:eastAsia="pl-PL" w:bidi="ar-SA"/>
    </w:rPr>
  </w:style>
  <w:style w:type="paragraph" w:styleId="Nagwek1">
    <w:name w:val="Heading 1"/>
    <w:basedOn w:val="Normal"/>
    <w:next w:val="Normal"/>
    <w:qFormat/>
    <w:pPr>
      <w:keepNext w:val="true"/>
      <w:numPr>
        <w:ilvl w:val="0"/>
        <w:numId w:val="1"/>
      </w:numPr>
      <w:suppressAutoHyphens w:val="true"/>
      <w:spacing w:lineRule="atLeast" w:line="100"/>
      <w:jc w:val="center"/>
      <w:outlineLvl w:val="0"/>
    </w:pPr>
    <w:rPr>
      <w:rFonts w:ascii="Arial" w:hAnsi="Arial"/>
      <w:b/>
    </w:rPr>
  </w:style>
  <w:style w:type="character" w:styleId="Domylnaczcionkaakapitu">
    <w:name w:val="Domyślna czcionka akapitu"/>
    <w:qFormat/>
    <w:rPr/>
  </w:style>
  <w:style w:type="character" w:styleId="AbsatzStandardschriftart">
    <w:name w:val="Absatz-Standardschriftart"/>
    <w:qFormat/>
    <w:rPr/>
  </w:style>
  <w:style w:type="character" w:styleId="WWAbsatzStandardschriftart">
    <w:name w:val="WW-Absatz-Standardschriftart"/>
    <w:qFormat/>
    <w:rPr/>
  </w:style>
  <w:style w:type="character" w:styleId="Znakiprzypiswdolnych">
    <w:name w:val="Znaki przypisów dolnych"/>
    <w:qFormat/>
    <w:rPr/>
  </w:style>
  <w:style w:type="character" w:styleId="Znakiwypunktowania">
    <w:name w:val="Znaki wypunktowania"/>
    <w:qFormat/>
    <w:rPr>
      <w:rFonts w:ascii="StarSymbol;Arial Unicode MS" w:hAnsi="StarSymbol;Arial Unicode MS"/>
      <w:sz w:val="18"/>
    </w:rPr>
  </w:style>
  <w:style w:type="character" w:styleId="WWAbsatzStandardschriftart1">
    <w:name w:val="WW-Absatz-Standardschriftart1"/>
    <w:qFormat/>
    <w:rPr/>
  </w:style>
  <w:style w:type="character" w:styleId="WW8NumSt1z0">
    <w:name w:val="WW8NumSt1z0"/>
    <w:qFormat/>
    <w:rPr>
      <w:rFonts w:ascii="Albertus" w:hAnsi="Albertus"/>
    </w:rPr>
  </w:style>
  <w:style w:type="character" w:styleId="WW8NumSt2z0">
    <w:name w:val="WW8NumSt2z0"/>
    <w:qFormat/>
    <w:rPr>
      <w:rFonts w:ascii="Albertus" w:hAnsi="Albertus"/>
    </w:rPr>
  </w:style>
  <w:style w:type="character" w:styleId="WW8NumSt3z0">
    <w:name w:val="WW8NumSt3z0"/>
    <w:qFormat/>
    <w:rPr>
      <w:rFonts w:ascii="Albertus" w:hAnsi="Albertus"/>
    </w:rPr>
  </w:style>
  <w:style w:type="character" w:styleId="WW8NumSt4z0">
    <w:name w:val="WW8NumSt4z0"/>
    <w:qFormat/>
    <w:rPr>
      <w:rFonts w:ascii="Albertus" w:hAnsi="Albertus"/>
    </w:rPr>
  </w:style>
  <w:style w:type="character" w:styleId="WW8NumSt5z0">
    <w:name w:val="WW8NumSt5z0"/>
    <w:qFormat/>
    <w:rPr>
      <w:rFonts w:ascii="Albertus" w:hAnsi="Albertus"/>
    </w:rPr>
  </w:style>
  <w:style w:type="character" w:styleId="WW8NumSt6z0">
    <w:name w:val="WW8NumSt6z0"/>
    <w:qFormat/>
    <w:rPr>
      <w:rFonts w:ascii="Albertus" w:hAnsi="Albertus"/>
    </w:rPr>
  </w:style>
  <w:style w:type="character" w:styleId="WW8NumSt7z0">
    <w:name w:val="WW8NumSt7z0"/>
    <w:qFormat/>
    <w:rPr>
      <w:rFonts w:ascii="Albertus" w:hAnsi="Albertus"/>
    </w:rPr>
  </w:style>
  <w:style w:type="character" w:styleId="WW8NumSt8z0">
    <w:name w:val="WW8NumSt8z0"/>
    <w:qFormat/>
    <w:rPr>
      <w:rFonts w:ascii="Albertus" w:hAnsi="Albertus"/>
    </w:rPr>
  </w:style>
  <w:style w:type="character" w:styleId="WW8NumSt9z0">
    <w:name w:val="WW8NumSt9z0"/>
    <w:qFormat/>
    <w:rPr>
      <w:rFonts w:ascii="Albertus" w:hAnsi="Albertus"/>
    </w:rPr>
  </w:style>
  <w:style w:type="character" w:styleId="WW8NumSt10z0">
    <w:name w:val="WW8NumSt10z0"/>
    <w:qFormat/>
    <w:rPr>
      <w:rFonts w:ascii="Albertus" w:hAnsi="Albertus"/>
    </w:rPr>
  </w:style>
  <w:style w:type="character" w:styleId="Normalny1">
    <w:name w:val="Normalny1"/>
    <w:qFormat/>
    <w:rPr>
      <w:rFonts w:ascii="Times New Roman" w:hAnsi="Times New Roman"/>
      <w:sz w:val="20"/>
      <w:lang w:val="pl-PL"/>
    </w:rPr>
  </w:style>
  <w:style w:type="character" w:styleId="RTFNum31">
    <w:name w:val="RTF_Num 3 1"/>
    <w:qFormat/>
    <w:rPr>
      <w:rFonts w:ascii="Times New Roman" w:hAnsi="Times New Roman"/>
      <w:b w:val="false"/>
      <w:i w:val="false"/>
      <w:sz w:val="26"/>
    </w:rPr>
  </w:style>
  <w:style w:type="character" w:styleId="RTFNum51">
    <w:name w:val="RTF_Num 5 1"/>
    <w:qFormat/>
    <w:rPr>
      <w:rFonts w:ascii="Times New Roman" w:hAnsi="Times New Roman"/>
      <w:b w:val="false"/>
      <w:i w:val="false"/>
      <w:sz w:val="26"/>
    </w:rPr>
  </w:style>
  <w:style w:type="character" w:styleId="Znakiprzypiswkocowych">
    <w:name w:val="Znaki przypisów ko?cowych"/>
    <w:qFormat/>
    <w:rPr/>
  </w:style>
  <w:style w:type="character" w:styleId="Znakinumeracji">
    <w:name w:val="Znaki numeracji"/>
    <w:qFormat/>
    <w:rPr/>
  </w:style>
  <w:style w:type="paragraph" w:styleId="Nagwek">
    <w:name w:val="Nagłówek"/>
    <w:basedOn w:val="Normal"/>
    <w:next w:val="Tretekstu"/>
    <w:qFormat/>
    <w:pPr>
      <w:keepNext w:val="true"/>
      <w:suppressAutoHyphens w:val="true"/>
      <w:spacing w:before="240" w:after="120"/>
    </w:pPr>
    <w:rPr>
      <w:rFonts w:ascii="Arial" w:hAnsi="Arial" w:eastAsia="MS Mincho" w:cs="Tahoma"/>
      <w:sz w:val="28"/>
      <w:szCs w:val="28"/>
    </w:rPr>
  </w:style>
  <w:style w:type="paragraph" w:styleId="Tretekstu">
    <w:name w:val="Body Text"/>
    <w:basedOn w:val="Normal"/>
    <w:pPr>
      <w:suppressAutoHyphens w:val="true"/>
      <w:spacing w:before="0" w:after="120"/>
    </w:pPr>
    <w:rPr/>
  </w:style>
  <w:style w:type="paragraph" w:styleId="Normalny">
    <w:name w:val="Normalny"/>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Lucida Sans Unicode" w:cs="Tahoma"/>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pl-PL" w:eastAsia="pl-PL" w:bidi="ar-SA"/>
    </w:rPr>
  </w:style>
  <w:style w:type="paragraph" w:styleId="Lista">
    <w:name w:val="List"/>
    <w:basedOn w:val="Tretekstu"/>
    <w:pPr>
      <w:suppressAutoHyphens w:val="true"/>
    </w:pPr>
    <w:rPr>
      <w:rFonts w:cs="Tahoma"/>
    </w:rPr>
  </w:style>
  <w:style w:type="paragraph" w:styleId="Legenda">
    <w:name w:val="Legenda"/>
    <w:basedOn w:val="Normal"/>
    <w:qFormat/>
    <w:pPr>
      <w:suppressLineNumbers/>
      <w:suppressAutoHyphens w:val="true"/>
      <w:spacing w:before="120" w:after="120"/>
    </w:pPr>
    <w:rPr>
      <w:rFonts w:cs="Tahoma"/>
      <w:i/>
      <w:iCs/>
      <w:szCs w:val="24"/>
    </w:rPr>
  </w:style>
  <w:style w:type="paragraph" w:styleId="Indeks">
    <w:name w:val="Indeks"/>
    <w:basedOn w:val="Normal"/>
    <w:qFormat/>
    <w:pPr>
      <w:suppressLineNumbers/>
      <w:suppressAutoHyphens w:val="true"/>
    </w:pPr>
    <w:rPr>
      <w:rFonts w:cs="Tahoma"/>
    </w:rPr>
  </w:style>
  <w:style w:type="paragraph" w:styleId="Tekstpodstawowywcity2">
    <w:name w:val="Tekst podstawowy wcięty 2"/>
    <w:basedOn w:val="Normal"/>
    <w:qFormat/>
    <w:pPr>
      <w:suppressAutoHyphens w:val="true"/>
      <w:spacing w:lineRule="auto" w:line="288"/>
      <w:ind w:firstLine="709"/>
      <w:jc w:val="both"/>
    </w:pPr>
    <w:rPr/>
  </w:style>
  <w:style w:type="numbering" w:styleId="Numbering1">
    <w:name w:val="Numbering 1"/>
    <w:qFormat/>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359</TotalTime>
  <Application>LibreOffice/7.4.5.1$Windows_X86_64 LibreOffice_project/9c0871452b3918c1019dde9bfac75448afc4b57f</Application>
  <AppVersion>15.0000</AppVersion>
  <Pages>2</Pages>
  <Words>529</Words>
  <Characters>3175</Characters>
  <CharactersWithSpaces>3697</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2006-01-16T08:46:00Z</dcterms:created>
  <dc:creator>Anita Nankiewicz</dc:creator>
  <dc:description/>
  <dc:language>pl-PL</dc:language>
  <cp:lastModifiedBy>Małgorzata Bochniak</cp:lastModifiedBy>
  <cp:lastPrinted>2006-10-10T08:10:00Z</cp:lastPrinted>
  <dcterms:modified xsi:type="dcterms:W3CDTF">2023-04-27T06:30:00Z</dcterms:modified>
  <cp:revision>33</cp:revision>
  <dc:subject/>
  <dc:title>Uchwała Nr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ja 1">
    <vt:lpwstr/>
  </property>
  <property fmtid="{D5CDD505-2E9C-101B-9397-08002B2CF9AE}" pid="3" name="Informacja 2">
    <vt:lpwstr/>
  </property>
  <property fmtid="{D5CDD505-2E9C-101B-9397-08002B2CF9AE}" pid="4" name="Informacja 3">
    <vt:lpwstr/>
  </property>
  <property fmtid="{D5CDD505-2E9C-101B-9397-08002B2CF9AE}" pid="5" name="Informacja 4">
    <vt:lpwstr/>
  </property>
</Properties>
</file>